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B0" w:rsidRPr="00156DB0" w:rsidRDefault="00156DB0" w:rsidP="00156DB0">
      <w:pPr>
        <w:ind w:firstLine="708"/>
        <w:jc w:val="center"/>
        <w:rPr>
          <w:b/>
          <w:sz w:val="28"/>
          <w:szCs w:val="28"/>
        </w:rPr>
      </w:pPr>
      <w:r w:rsidRPr="00156DB0">
        <w:rPr>
          <w:b/>
          <w:sz w:val="28"/>
          <w:szCs w:val="28"/>
        </w:rPr>
        <w:t>ЗВЕРНЕННЯ</w:t>
      </w:r>
    </w:p>
    <w:p w:rsidR="00156DB0" w:rsidRPr="00156DB0" w:rsidRDefault="00156DB0" w:rsidP="00156DB0">
      <w:pPr>
        <w:ind w:firstLine="708"/>
        <w:jc w:val="center"/>
        <w:rPr>
          <w:b/>
          <w:sz w:val="28"/>
          <w:szCs w:val="28"/>
        </w:rPr>
      </w:pPr>
      <w:r w:rsidRPr="00156DB0">
        <w:rPr>
          <w:b/>
          <w:sz w:val="28"/>
          <w:szCs w:val="28"/>
        </w:rPr>
        <w:t>депутатів Чернівецької обласної ради VII скликання до Верховної Ради України, Кабінету Міністрів України щодо недопущення усунення обласних рад від процесу схвалення Перспективних планів формування територій</w:t>
      </w:r>
    </w:p>
    <w:p w:rsidR="00156DB0" w:rsidRPr="00156DB0" w:rsidRDefault="00156DB0" w:rsidP="00156DB0">
      <w:pPr>
        <w:ind w:firstLine="708"/>
        <w:jc w:val="center"/>
        <w:rPr>
          <w:sz w:val="28"/>
          <w:szCs w:val="28"/>
        </w:rPr>
      </w:pPr>
    </w:p>
    <w:p w:rsidR="00156DB0" w:rsidRPr="00156DB0" w:rsidRDefault="00156DB0" w:rsidP="00156DB0">
      <w:pPr>
        <w:ind w:firstLine="708"/>
        <w:jc w:val="both"/>
        <w:rPr>
          <w:sz w:val="28"/>
          <w:szCs w:val="28"/>
        </w:rPr>
      </w:pPr>
      <w:r w:rsidRPr="00156DB0">
        <w:rPr>
          <w:sz w:val="28"/>
          <w:szCs w:val="28"/>
        </w:rPr>
        <w:t>На даний час в Україні активно проходить процес децентралізації, який передбачений Законом України «Про добровільне об’єднання територіальних громад».</w:t>
      </w:r>
    </w:p>
    <w:p w:rsidR="00156DB0" w:rsidRPr="00156DB0" w:rsidRDefault="00156DB0" w:rsidP="00156DB0">
      <w:pPr>
        <w:ind w:firstLine="708"/>
        <w:jc w:val="both"/>
        <w:rPr>
          <w:sz w:val="28"/>
          <w:szCs w:val="28"/>
        </w:rPr>
      </w:pPr>
      <w:r w:rsidRPr="00156DB0">
        <w:rPr>
          <w:sz w:val="28"/>
          <w:szCs w:val="28"/>
        </w:rPr>
        <w:t>Відповідно до вказаного закону передбачено, що д</w:t>
      </w:r>
      <w:r w:rsidRPr="00156DB0">
        <w:rPr>
          <w:color w:val="000000"/>
          <w:sz w:val="28"/>
          <w:szCs w:val="28"/>
        </w:rPr>
        <w:t>обровільне об’єднання територіальних громад сіл, селищ, міст здійснюється з дотриманням таких принципів: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n9"/>
      <w:bookmarkEnd w:id="0"/>
      <w:r w:rsidRPr="00156DB0">
        <w:rPr>
          <w:color w:val="000000"/>
          <w:sz w:val="28"/>
          <w:szCs w:val="28"/>
          <w:lang w:val="uk-UA"/>
        </w:rPr>
        <w:t>1) конституційності та законності;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10"/>
      <w:bookmarkEnd w:id="1"/>
      <w:r w:rsidRPr="00156DB0">
        <w:rPr>
          <w:color w:val="000000"/>
          <w:sz w:val="28"/>
          <w:szCs w:val="28"/>
          <w:lang w:val="uk-UA"/>
        </w:rPr>
        <w:t>2) добровільності;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1"/>
      <w:bookmarkEnd w:id="2"/>
      <w:r w:rsidRPr="00156DB0">
        <w:rPr>
          <w:color w:val="000000"/>
          <w:sz w:val="28"/>
          <w:szCs w:val="28"/>
          <w:lang w:val="uk-UA"/>
        </w:rPr>
        <w:t>3) економічної ефективності;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2"/>
      <w:bookmarkEnd w:id="3"/>
      <w:r w:rsidRPr="00156DB0">
        <w:rPr>
          <w:color w:val="000000"/>
          <w:sz w:val="28"/>
          <w:szCs w:val="28"/>
          <w:lang w:val="uk-UA"/>
        </w:rPr>
        <w:t>4) державної підтримки;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3"/>
      <w:bookmarkEnd w:id="4"/>
      <w:r w:rsidRPr="00156DB0">
        <w:rPr>
          <w:color w:val="000000"/>
          <w:sz w:val="28"/>
          <w:szCs w:val="28"/>
          <w:lang w:val="uk-UA"/>
        </w:rPr>
        <w:t>5) повсюдності місцевого самоврядування;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14"/>
      <w:bookmarkEnd w:id="5"/>
      <w:r w:rsidRPr="00156DB0">
        <w:rPr>
          <w:color w:val="000000"/>
          <w:sz w:val="28"/>
          <w:szCs w:val="28"/>
          <w:lang w:val="uk-UA"/>
        </w:rPr>
        <w:t>6) прозорості та відкритості;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15"/>
      <w:bookmarkEnd w:id="6"/>
      <w:r w:rsidRPr="00156DB0">
        <w:rPr>
          <w:color w:val="000000"/>
          <w:sz w:val="28"/>
          <w:szCs w:val="28"/>
          <w:lang w:val="uk-UA"/>
        </w:rPr>
        <w:t>7) відповідальності.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125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Ста</w:t>
      </w:r>
      <w:r w:rsidRPr="00156DB0">
        <w:rPr>
          <w:sz w:val="28"/>
          <w:szCs w:val="28"/>
          <w:shd w:val="clear" w:color="auto" w:fill="FFFFFF"/>
          <w:lang w:val="uk-UA"/>
        </w:rPr>
        <w:t>тт</w:t>
      </w:r>
      <w:r>
        <w:rPr>
          <w:sz w:val="28"/>
          <w:szCs w:val="28"/>
          <w:shd w:val="clear" w:color="auto" w:fill="FFFFFF"/>
          <w:lang w:val="uk-UA"/>
        </w:rPr>
        <w:t>е</w:t>
      </w:r>
      <w:r w:rsidRPr="00156DB0">
        <w:rPr>
          <w:sz w:val="28"/>
          <w:szCs w:val="28"/>
          <w:shd w:val="clear" w:color="auto" w:fill="FFFFFF"/>
          <w:lang w:val="uk-UA"/>
        </w:rPr>
        <w:t xml:space="preserve">ю 11 Закону України «Про добровільне об’єднання територіальних громад» встановлено, що </w:t>
      </w:r>
      <w:hyperlink r:id="rId4" w:anchor="n129" w:history="1">
        <w:r w:rsidRPr="00156DB0">
          <w:rPr>
            <w:lang w:val="uk-UA"/>
          </w:rPr>
          <w:t>Перспективний план формування територій</w:t>
        </w:r>
      </w:hyperlink>
      <w:r w:rsidRPr="00156DB0">
        <w:rPr>
          <w:lang w:val="uk-UA"/>
        </w:rPr>
        <w:t xml:space="preserve"> </w:t>
      </w:r>
      <w:r w:rsidRPr="00156DB0">
        <w:rPr>
          <w:sz w:val="28"/>
          <w:szCs w:val="28"/>
          <w:shd w:val="clear" w:color="auto" w:fill="FFFFFF"/>
          <w:lang w:val="uk-UA"/>
        </w:rPr>
        <w:t>громад Автономної Республіки Крим, області схвалюється відповідно Верховною Радою Автономної Республіки Крим, обласною радою за поданням Ради міністрів Автономної Республіки Крим, відповідної обласної державної адміністрації та затверджується Кабінетом Міністрів України.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125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sz w:val="28"/>
          <w:szCs w:val="28"/>
          <w:shd w:val="clear" w:color="auto" w:fill="FFFFFF"/>
          <w:lang w:val="uk-UA"/>
        </w:rPr>
        <w:t>Пунктом 5 прикінцевих положень вищевказаного закону у</w:t>
      </w:r>
      <w:r w:rsidRPr="00156DB0">
        <w:rPr>
          <w:color w:val="000000"/>
          <w:sz w:val="28"/>
          <w:szCs w:val="28"/>
          <w:lang w:val="uk-UA"/>
        </w:rPr>
        <w:t>повноважено Кабінет Міністрів України своїм розпорядженням, без дотримання порядку, визначеного частиною третьою статті 11 цього Закону: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n184"/>
      <w:bookmarkEnd w:id="7"/>
      <w:r w:rsidRPr="00156DB0">
        <w:rPr>
          <w:color w:val="000000"/>
          <w:sz w:val="28"/>
          <w:szCs w:val="28"/>
          <w:lang w:val="uk-UA"/>
        </w:rPr>
        <w:t>1) визначити перелік спроможних відповідно до цього Закону об’єднаних територіальних громад, у яких перші вибори депутатів сільської, селищної, міської ради та відповідного сільського, селищного, міського голови відбулися у 2016 році;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8" w:name="n185"/>
      <w:bookmarkEnd w:id="8"/>
      <w:r w:rsidRPr="00156DB0">
        <w:rPr>
          <w:color w:val="000000"/>
          <w:sz w:val="28"/>
          <w:szCs w:val="28"/>
          <w:lang w:val="uk-UA"/>
        </w:rPr>
        <w:t>2) внести зміни до затверджених перспективних планів формування територій громад областей, включивши до них об’єднані територіальні громади, у яких перші вибори депутатів сільської, селищної, міської ради та відповідного сільського, селищного, міського голови відбулися у 2016 році.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>Вважаємо, що такі повноваження без дотримання процедури визначеної статтею 11 Закону надані Кабінету Міністрів України як виключення і не повинні повторюватись в майбутньому.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 xml:space="preserve">Обласні ради є вищим представницьким органом, що представляє спільні інтереси територіальних громад сіл, селищ, міст області. 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>Хто як не депутати обласних рад знають найкраще проблеми, які існують на відповідній території з питань об’єднання територіальних громад.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>Враховуючи вищезазначене, вважаємо, що перспективний план повинен затверджуватись Кабінетом Міністрів України тільки після його схвалення обласними радами та відповідно до прийнятих ними рішень.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 xml:space="preserve">Звертаємось до законодавчих та виконавчих гілок влади держави про недопущення звуження прав обласних рад, а також обмеження у часі прийняття таких рішень. 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 xml:space="preserve"> 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6DB0">
        <w:rPr>
          <w:color w:val="000000"/>
          <w:sz w:val="28"/>
          <w:szCs w:val="28"/>
          <w:lang w:val="uk-UA"/>
        </w:rPr>
        <w:t xml:space="preserve">  </w:t>
      </w:r>
    </w:p>
    <w:p w:rsidR="00156DB0" w:rsidRPr="00156DB0" w:rsidRDefault="00156DB0" w:rsidP="00156DB0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56DB0" w:rsidRPr="00156DB0" w:rsidRDefault="00156DB0" w:rsidP="00156DB0">
      <w:pPr>
        <w:jc w:val="both"/>
        <w:rPr>
          <w:sz w:val="28"/>
          <w:szCs w:val="28"/>
        </w:rPr>
      </w:pPr>
    </w:p>
    <w:p w:rsidR="00156DB0" w:rsidRPr="00156DB0" w:rsidRDefault="00156DB0" w:rsidP="00156DB0">
      <w:pPr>
        <w:ind w:firstLine="708"/>
        <w:jc w:val="right"/>
        <w:rPr>
          <w:i/>
          <w:sz w:val="28"/>
          <w:szCs w:val="28"/>
        </w:rPr>
      </w:pPr>
    </w:p>
    <w:p w:rsidR="00156DB0" w:rsidRPr="00156DB0" w:rsidRDefault="00156DB0" w:rsidP="00156DB0">
      <w:pPr>
        <w:ind w:firstLine="708"/>
        <w:jc w:val="right"/>
        <w:rPr>
          <w:i/>
          <w:sz w:val="28"/>
          <w:szCs w:val="28"/>
        </w:rPr>
      </w:pPr>
      <w:r w:rsidRPr="00156DB0">
        <w:rPr>
          <w:i/>
          <w:sz w:val="28"/>
          <w:szCs w:val="28"/>
        </w:rPr>
        <w:t xml:space="preserve">Прийнято на 14-ї сесії  Чернівецької обласної ради VII </w:t>
      </w:r>
    </w:p>
    <w:p w:rsidR="00156DB0" w:rsidRPr="00156DB0" w:rsidRDefault="00156DB0" w:rsidP="00156DB0">
      <w:pPr>
        <w:ind w:firstLine="708"/>
        <w:jc w:val="right"/>
        <w:rPr>
          <w:i/>
          <w:sz w:val="28"/>
          <w:szCs w:val="28"/>
        </w:rPr>
      </w:pPr>
      <w:r w:rsidRPr="00156DB0">
        <w:rPr>
          <w:i/>
          <w:sz w:val="28"/>
          <w:szCs w:val="28"/>
        </w:rPr>
        <w:t>скликання від 04. 06. 2017 року</w:t>
      </w:r>
    </w:p>
    <w:p w:rsidR="009A220E" w:rsidRPr="00156DB0" w:rsidRDefault="009A220E"/>
    <w:sectPr w:rsidR="009A220E" w:rsidRPr="00156DB0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156DB0"/>
    <w:rsid w:val="00156DB0"/>
    <w:rsid w:val="00466EF6"/>
    <w:rsid w:val="009A220E"/>
    <w:rsid w:val="00A07DB3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56DB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156DB0"/>
  </w:style>
  <w:style w:type="character" w:styleId="a3">
    <w:name w:val="Hyperlink"/>
    <w:basedOn w:val="a0"/>
    <w:uiPriority w:val="99"/>
    <w:semiHidden/>
    <w:unhideWhenUsed/>
    <w:rsid w:val="00156D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3.rada.gov.ua/laws/show/157-19/p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2017-07-19T14:02:00Z</dcterms:created>
  <dcterms:modified xsi:type="dcterms:W3CDTF">2017-07-19T14:05:00Z</dcterms:modified>
</cp:coreProperties>
</file>